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29" w:rsidRDefault="002C3329" w:rsidP="002C33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В.Н. ГРЕБЕНЕВ</w:t>
      </w:r>
      <w:r w:rsidR="001D40D9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, Ю.Б. ГУРОВ</w:t>
      </w:r>
      <w:r w:rsidR="001D40D9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, Р.Р. ШАФИГУЛЛИН</w:t>
      </w:r>
      <w:r w:rsidR="001D40D9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, В.С. СОПОВ</w:t>
      </w:r>
      <w:r w:rsidR="001D40D9">
        <w:rPr>
          <w:rFonts w:ascii="Times New Roman" w:hAnsi="Times New Roman"/>
          <w:sz w:val="20"/>
          <w:szCs w:val="20"/>
          <w:vertAlign w:val="superscript"/>
        </w:rPr>
        <w:t>2</w:t>
      </w:r>
    </w:p>
    <w:p w:rsidR="002C3329" w:rsidRDefault="001D40D9" w:rsidP="002C332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="002C3329">
        <w:rPr>
          <w:rFonts w:ascii="Times New Roman" w:hAnsi="Times New Roman"/>
          <w:i/>
          <w:sz w:val="18"/>
          <w:szCs w:val="18"/>
        </w:rPr>
        <w:t>Национальный исследовательский ядерный университет «МИФИ»</w:t>
      </w:r>
    </w:p>
    <w:p w:rsidR="002C3329" w:rsidRDefault="001D40D9" w:rsidP="002C332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2</w:t>
      </w:r>
      <w:r w:rsidR="002C3329">
        <w:rPr>
          <w:rFonts w:ascii="Times New Roman" w:hAnsi="Times New Roman"/>
          <w:i/>
          <w:sz w:val="18"/>
          <w:szCs w:val="18"/>
        </w:rPr>
        <w:t>ФГУП ГНЦ РФ Институт теоретической и экспериментальной физики, Москва</w:t>
      </w:r>
    </w:p>
    <w:p w:rsidR="002C3329" w:rsidRDefault="002C3329" w:rsidP="002C332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2C3329" w:rsidRDefault="002C3329" w:rsidP="002C33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ОПРЕДЕЛЕНИЕ ИМПУЛЬСНОГО РАСПРЕДЕЛЕНИЯ ЧАСТИЦ В ПУЧКАХ НАКОПИТЕЛЬНЫХ КОЛЕЦ </w:t>
      </w:r>
    </w:p>
    <w:p w:rsidR="002C3329" w:rsidRDefault="002C3329" w:rsidP="002C33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94C0A" w:rsidRPr="001D40D9" w:rsidRDefault="002C3329" w:rsidP="0035781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Предложен метод определения характеристик импульсного распределения частиц в высокоинтенсивных пучках ускорителей промежуточных энергий. Импульс пучка и ширина импульсного распределения определяются по энергетическому спектру заряженных частиц, образующихся вблизи порога </w:t>
      </w:r>
      <w:proofErr w:type="spellStart"/>
      <w:r>
        <w:rPr>
          <w:rFonts w:ascii="Times New Roman" w:hAnsi="Times New Roman"/>
          <w:sz w:val="20"/>
          <w:szCs w:val="20"/>
        </w:rPr>
        <w:t>двухчастичной</w:t>
      </w:r>
      <w:proofErr w:type="spellEnd"/>
      <w:r>
        <w:rPr>
          <w:rFonts w:ascii="Times New Roman" w:hAnsi="Times New Roman"/>
          <w:sz w:val="20"/>
          <w:szCs w:val="20"/>
        </w:rPr>
        <w:t xml:space="preserve"> реакции. Метод апробирован на энергетическом спектре ядер 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Не из реакции </w:t>
      </w:r>
      <w:r>
        <w:rPr>
          <w:rFonts w:ascii="Times New Roman" w:hAnsi="Times New Roman"/>
          <w:i/>
          <w:sz w:val="20"/>
          <w:szCs w:val="20"/>
          <w:lang w:val="en-US"/>
        </w:rPr>
        <w:t>d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  <w:lang w:val="en-US"/>
        </w:rPr>
        <w:t>p</w:t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Не)</w:t>
      </w:r>
      <w:r>
        <w:rPr>
          <w:rFonts w:ascii="Times New Roman" w:hAnsi="Times New Roman"/>
          <w:i/>
          <w:sz w:val="20"/>
          <w:szCs w:val="20"/>
        </w:rPr>
        <w:t>η</w:t>
      </w:r>
      <w:r>
        <w:rPr>
          <w:rFonts w:ascii="Times New Roman" w:hAnsi="Times New Roman"/>
          <w:sz w:val="20"/>
          <w:szCs w:val="20"/>
        </w:rPr>
        <w:t xml:space="preserve">, измеренном на кольце синхротрона </w:t>
      </w:r>
      <w:r>
        <w:rPr>
          <w:rFonts w:ascii="Times New Roman" w:hAnsi="Times New Roman"/>
          <w:sz w:val="20"/>
          <w:szCs w:val="20"/>
          <w:lang w:val="en-US"/>
        </w:rPr>
        <w:t>CELSIUS</w:t>
      </w:r>
      <w:r>
        <w:rPr>
          <w:rFonts w:ascii="Times New Roman" w:hAnsi="Times New Roman"/>
          <w:sz w:val="20"/>
          <w:szCs w:val="20"/>
        </w:rPr>
        <w:t>. Приведены описание экспериментальной установки, формулы, лежащие в основе метода и результаты анализа измеренной информации. Оценивается влияние набранной в эксперименте статистики, энергетического разрешения и абсолютной привязки шкалы измерителей спектра на результат восстановления характеристик пучка.</w:t>
      </w:r>
    </w:p>
    <w:p w:rsidR="00A24A2C" w:rsidRPr="001D40D9" w:rsidRDefault="007A6776" w:rsidP="002C3329">
      <w:pPr>
        <w:rPr>
          <w:rFonts w:ascii="Times New Roman" w:hAnsi="Times New Roman"/>
          <w:sz w:val="20"/>
          <w:szCs w:val="20"/>
        </w:rPr>
      </w:pPr>
      <w:r w:rsidRPr="007A6776">
        <w:rPr>
          <w:rFonts w:ascii="Times New Roman" w:hAnsi="Times New Roman"/>
          <w:b/>
          <w:sz w:val="20"/>
          <w:szCs w:val="20"/>
        </w:rPr>
        <w:t>Ключевые слова</w:t>
      </w:r>
      <w:r>
        <w:rPr>
          <w:rFonts w:ascii="Times New Roman" w:hAnsi="Times New Roman"/>
          <w:sz w:val="20"/>
          <w:szCs w:val="20"/>
        </w:rPr>
        <w:t xml:space="preserve">: ускорители, импульсное распределение, </w:t>
      </w:r>
      <w:r>
        <w:rPr>
          <w:rFonts w:ascii="Times New Roman" w:hAnsi="Times New Roman"/>
          <w:sz w:val="20"/>
          <w:szCs w:val="20"/>
          <w:lang w:val="en-US"/>
        </w:rPr>
        <w:t>CELSIUS</w:t>
      </w:r>
    </w:p>
    <w:p w:rsidR="00A24A2C" w:rsidRDefault="001D40D9" w:rsidP="00A24A2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</w:t>
      </w:r>
      <w:r w:rsidR="00A24A2C">
        <w:rPr>
          <w:rFonts w:ascii="Times New Roman" w:hAnsi="Times New Roman"/>
          <w:sz w:val="24"/>
          <w:szCs w:val="24"/>
          <w:u w:val="single"/>
        </w:rPr>
        <w:t>аголов</w:t>
      </w:r>
      <w:r>
        <w:rPr>
          <w:rFonts w:ascii="Times New Roman" w:hAnsi="Times New Roman"/>
          <w:sz w:val="24"/>
          <w:szCs w:val="24"/>
          <w:u w:val="single"/>
        </w:rPr>
        <w:t>ок</w:t>
      </w:r>
      <w:r w:rsidR="00A24A2C">
        <w:rPr>
          <w:rFonts w:ascii="Times New Roman" w:hAnsi="Times New Roman"/>
          <w:sz w:val="24"/>
          <w:szCs w:val="24"/>
          <w:u w:val="single"/>
        </w:rPr>
        <w:t xml:space="preserve"> доклада на английском языке </w:t>
      </w:r>
    </w:p>
    <w:p w:rsidR="00A24A2C" w:rsidRDefault="00A24A2C" w:rsidP="00A24A2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A24A2C" w:rsidRDefault="00A24A2C" w:rsidP="00A24A2C">
      <w:pPr>
        <w:spacing w:after="0" w:line="240" w:lineRule="auto"/>
        <w:rPr>
          <w:rFonts w:ascii="Times New Roman" w:hAnsi="Times New Roman"/>
        </w:rPr>
      </w:pPr>
    </w:p>
    <w:p w:rsidR="00A24A2C" w:rsidRPr="001D40D9" w:rsidRDefault="00A24A2C" w:rsidP="00A24A2C">
      <w:pPr>
        <w:spacing w:after="0" w:line="240" w:lineRule="auto"/>
        <w:rPr>
          <w:rFonts w:ascii="Times New Roman" w:hAnsi="Times New Roman"/>
          <w:sz w:val="20"/>
          <w:szCs w:val="16"/>
          <w:vertAlign w:val="superscript"/>
          <w:lang w:val="en-US"/>
        </w:rPr>
      </w:pPr>
      <w:r w:rsidRPr="00A24A2C">
        <w:rPr>
          <w:rFonts w:ascii="Times New Roman" w:hAnsi="Times New Roman"/>
          <w:sz w:val="20"/>
          <w:szCs w:val="16"/>
          <w:lang w:val="en-US"/>
        </w:rPr>
        <w:t>GREBENEV V.N.</w:t>
      </w:r>
      <w:r w:rsidR="001D40D9" w:rsidRPr="001D40D9">
        <w:rPr>
          <w:rFonts w:ascii="Times New Roman" w:hAnsi="Times New Roman"/>
          <w:sz w:val="20"/>
          <w:szCs w:val="16"/>
          <w:vertAlign w:val="superscript"/>
          <w:lang w:val="en-US"/>
        </w:rPr>
        <w:t>1</w:t>
      </w:r>
      <w:r w:rsidRPr="00A24A2C">
        <w:rPr>
          <w:rFonts w:ascii="Times New Roman" w:hAnsi="Times New Roman"/>
          <w:sz w:val="20"/>
          <w:szCs w:val="16"/>
          <w:lang w:val="en-US"/>
        </w:rPr>
        <w:t>, GUROV Yu.B.</w:t>
      </w:r>
      <w:r w:rsidR="001D40D9" w:rsidRPr="001D40D9">
        <w:rPr>
          <w:rFonts w:ascii="Times New Roman" w:hAnsi="Times New Roman"/>
          <w:sz w:val="20"/>
          <w:szCs w:val="16"/>
          <w:vertAlign w:val="superscript"/>
          <w:lang w:val="en-US"/>
        </w:rPr>
        <w:t>1</w:t>
      </w:r>
      <w:r w:rsidRPr="00A24A2C">
        <w:rPr>
          <w:rFonts w:ascii="Times New Roman" w:hAnsi="Times New Roman"/>
          <w:sz w:val="20"/>
          <w:szCs w:val="16"/>
          <w:lang w:val="en-US"/>
        </w:rPr>
        <w:t>, SCHAFIGULLIN R.R.</w:t>
      </w:r>
      <w:r w:rsidR="001D40D9" w:rsidRPr="001D40D9">
        <w:rPr>
          <w:rFonts w:ascii="Times New Roman" w:hAnsi="Times New Roman"/>
          <w:sz w:val="20"/>
          <w:szCs w:val="16"/>
          <w:vertAlign w:val="superscript"/>
          <w:lang w:val="en-US"/>
        </w:rPr>
        <w:t>1</w:t>
      </w:r>
      <w:r w:rsidRPr="00A24A2C">
        <w:rPr>
          <w:rFonts w:ascii="Times New Roman" w:hAnsi="Times New Roman"/>
          <w:sz w:val="20"/>
          <w:szCs w:val="16"/>
          <w:lang w:val="en-US"/>
        </w:rPr>
        <w:t>, V.S. SOPOV V.S.</w:t>
      </w:r>
      <w:r w:rsidR="001D40D9" w:rsidRPr="001D40D9">
        <w:rPr>
          <w:rFonts w:ascii="Times New Roman" w:hAnsi="Times New Roman"/>
          <w:sz w:val="20"/>
          <w:szCs w:val="16"/>
          <w:vertAlign w:val="superscript"/>
          <w:lang w:val="en-US"/>
        </w:rPr>
        <w:t>2</w:t>
      </w:r>
    </w:p>
    <w:p w:rsidR="00A24A2C" w:rsidRPr="00A24A2C" w:rsidRDefault="001D40D9" w:rsidP="00A24A2C">
      <w:pPr>
        <w:spacing w:after="0" w:line="240" w:lineRule="auto"/>
        <w:rPr>
          <w:rFonts w:ascii="Times New Roman" w:hAnsi="Times New Roman"/>
          <w:i/>
          <w:sz w:val="20"/>
          <w:szCs w:val="16"/>
          <w:lang w:val="en-US"/>
        </w:rPr>
      </w:pPr>
      <w:r w:rsidRPr="001D40D9">
        <w:rPr>
          <w:rFonts w:ascii="Times New Roman" w:hAnsi="Times New Roman"/>
          <w:i/>
          <w:sz w:val="20"/>
          <w:szCs w:val="16"/>
          <w:vertAlign w:val="superscript"/>
          <w:lang w:val="en-US"/>
        </w:rPr>
        <w:t>1</w:t>
      </w:r>
      <w:r w:rsidR="00A24A2C" w:rsidRPr="00A24A2C">
        <w:rPr>
          <w:rFonts w:ascii="Times New Roman" w:hAnsi="Times New Roman"/>
          <w:i/>
          <w:sz w:val="20"/>
          <w:szCs w:val="16"/>
          <w:lang w:val="en-US"/>
        </w:rPr>
        <w:t>National Nuclear Research University «MEPHI»</w:t>
      </w:r>
    </w:p>
    <w:p w:rsidR="00A24A2C" w:rsidRPr="00A24A2C" w:rsidRDefault="001D40D9" w:rsidP="00A24A2C">
      <w:pPr>
        <w:spacing w:after="0" w:line="240" w:lineRule="auto"/>
        <w:rPr>
          <w:rFonts w:ascii="Times New Roman" w:hAnsi="Times New Roman"/>
          <w:i/>
          <w:sz w:val="20"/>
          <w:szCs w:val="16"/>
          <w:lang w:val="en-US"/>
        </w:rPr>
      </w:pPr>
      <w:r w:rsidRPr="001D40D9">
        <w:rPr>
          <w:rFonts w:ascii="Times New Roman" w:hAnsi="Times New Roman"/>
          <w:i/>
          <w:sz w:val="20"/>
          <w:szCs w:val="16"/>
          <w:vertAlign w:val="superscript"/>
          <w:lang w:val="en-US"/>
        </w:rPr>
        <w:t>2</w:t>
      </w:r>
      <w:r w:rsidR="00A24A2C" w:rsidRPr="00A24A2C">
        <w:rPr>
          <w:rFonts w:ascii="Times New Roman" w:hAnsi="Times New Roman"/>
          <w:i/>
          <w:sz w:val="20"/>
          <w:szCs w:val="16"/>
          <w:lang w:val="en-US"/>
        </w:rPr>
        <w:t>RF SSC Institute for Theoretical and Experimental Physics, Moscow</w:t>
      </w:r>
    </w:p>
    <w:p w:rsidR="00A24A2C" w:rsidRPr="00A24A2C" w:rsidRDefault="00A24A2C" w:rsidP="00A24A2C">
      <w:pPr>
        <w:spacing w:after="0" w:line="240" w:lineRule="auto"/>
        <w:rPr>
          <w:rFonts w:ascii="Times New Roman" w:hAnsi="Times New Roman"/>
          <w:b/>
          <w:sz w:val="20"/>
          <w:szCs w:val="16"/>
          <w:lang w:val="en-US"/>
        </w:rPr>
      </w:pPr>
      <w:r w:rsidRPr="00A24A2C">
        <w:rPr>
          <w:rFonts w:ascii="Times New Roman" w:hAnsi="Times New Roman"/>
          <w:b/>
          <w:sz w:val="20"/>
          <w:szCs w:val="16"/>
          <w:lang w:val="en-US"/>
        </w:rPr>
        <w:t>Determination of the particles momentum distribution in the beams of storage rings</w:t>
      </w:r>
    </w:p>
    <w:p w:rsidR="00A24A2C" w:rsidRDefault="00A24A2C" w:rsidP="002C3329">
      <w:pPr>
        <w:rPr>
          <w:rFonts w:ascii="Times New Roman" w:hAnsi="Times New Roman"/>
          <w:sz w:val="20"/>
          <w:szCs w:val="20"/>
          <w:lang w:val="en-US"/>
        </w:rPr>
      </w:pPr>
    </w:p>
    <w:p w:rsidR="00A24A2C" w:rsidRPr="00A24A2C" w:rsidRDefault="00A24A2C" w:rsidP="002C3329">
      <w:pPr>
        <w:rPr>
          <w:lang w:val="en-US"/>
        </w:rPr>
      </w:pPr>
    </w:p>
    <w:sectPr w:rsidR="00A24A2C" w:rsidRPr="00A2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6"/>
    <w:rsid w:val="001D40D9"/>
    <w:rsid w:val="002C3329"/>
    <w:rsid w:val="00357811"/>
    <w:rsid w:val="00422376"/>
    <w:rsid w:val="0064038F"/>
    <w:rsid w:val="007A6776"/>
    <w:rsid w:val="009E07CB"/>
    <w:rsid w:val="00A24A2C"/>
    <w:rsid w:val="00B5313E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10078-EAF6-43BC-800E-A821ACA0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2021-05-01T19:04:00Z</dcterms:created>
  <dcterms:modified xsi:type="dcterms:W3CDTF">2021-05-01T19:04:00Z</dcterms:modified>
</cp:coreProperties>
</file>